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E6D" w:rsidRPr="00566E6D" w:rsidRDefault="00566E6D" w:rsidP="00566E6D">
      <w:pPr>
        <w:jc w:val="center"/>
        <w:rPr>
          <w:rFonts w:ascii="Times New Roman" w:hAnsi="Times New Roman" w:cs="Times New Roman"/>
          <w:b/>
        </w:rPr>
      </w:pPr>
      <w:bookmarkStart w:id="0" w:name="_GoBack"/>
      <w:bookmarkEnd w:id="0"/>
      <w:r w:rsidRPr="00566E6D">
        <w:rPr>
          <w:rFonts w:ascii="Times New Roman" w:hAnsi="Times New Roman" w:cs="Times New Roman"/>
          <w:b/>
        </w:rPr>
        <w:t>OSF Russia Project</w:t>
      </w:r>
    </w:p>
    <w:p w:rsidR="00566E6D" w:rsidRPr="00566E6D" w:rsidRDefault="00566E6D" w:rsidP="00566E6D">
      <w:pPr>
        <w:jc w:val="center"/>
        <w:rPr>
          <w:rFonts w:ascii="Times New Roman" w:hAnsi="Times New Roman" w:cs="Times New Roman"/>
          <w:b/>
        </w:rPr>
      </w:pPr>
      <w:r w:rsidRPr="00566E6D">
        <w:rPr>
          <w:rFonts w:ascii="Times New Roman" w:hAnsi="Times New Roman" w:cs="Times New Roman"/>
          <w:b/>
        </w:rPr>
        <w:t xml:space="preserve">2012-2013 Strategy </w:t>
      </w:r>
      <w:proofErr w:type="gramStart"/>
      <w:r w:rsidRPr="00566E6D">
        <w:rPr>
          <w:rFonts w:ascii="Times New Roman" w:hAnsi="Times New Roman" w:cs="Times New Roman"/>
          <w:b/>
        </w:rPr>
        <w:t>Summary</w:t>
      </w:r>
      <w:proofErr w:type="gramEnd"/>
    </w:p>
    <w:p w:rsidR="003C4651" w:rsidRPr="003C75F5" w:rsidRDefault="00D10075">
      <w:pPr>
        <w:rPr>
          <w:rFonts w:ascii="Times New Roman" w:hAnsi="Times New Roman" w:cs="Times New Roman"/>
        </w:rPr>
      </w:pPr>
      <w:r w:rsidRPr="003C75F5">
        <w:rPr>
          <w:rFonts w:ascii="Times New Roman" w:hAnsi="Times New Roman" w:cs="Times New Roman"/>
        </w:rPr>
        <w:t>The Open Society Foundations</w:t>
      </w:r>
      <w:r w:rsidR="003C75F5">
        <w:rPr>
          <w:rFonts w:ascii="Times New Roman" w:hAnsi="Times New Roman" w:cs="Times New Roman"/>
        </w:rPr>
        <w:t>’</w:t>
      </w:r>
      <w:r w:rsidRPr="003C75F5">
        <w:rPr>
          <w:rFonts w:ascii="Times New Roman" w:hAnsi="Times New Roman" w:cs="Times New Roman"/>
        </w:rPr>
        <w:t xml:space="preserve"> Russia Project (RP) </w:t>
      </w:r>
      <w:r w:rsidR="00B24A25">
        <w:rPr>
          <w:rFonts w:ascii="Times New Roman" w:hAnsi="Times New Roman" w:cs="Times New Roman"/>
        </w:rPr>
        <w:t xml:space="preserve">is a civil society program, which </w:t>
      </w:r>
      <w:r w:rsidRPr="003C75F5">
        <w:rPr>
          <w:rFonts w:ascii="Times New Roman" w:hAnsi="Times New Roman" w:cs="Times New Roman"/>
        </w:rPr>
        <w:t xml:space="preserve">seeks to promote and invigorate public life in Russia. Working with a budget of $6 million per year, the RP divides its </w:t>
      </w:r>
      <w:proofErr w:type="spellStart"/>
      <w:r w:rsidRPr="003C75F5">
        <w:rPr>
          <w:rFonts w:ascii="Times New Roman" w:hAnsi="Times New Roman" w:cs="Times New Roman"/>
        </w:rPr>
        <w:t>grantmaking</w:t>
      </w:r>
      <w:proofErr w:type="spellEnd"/>
      <w:r w:rsidRPr="003C75F5">
        <w:rPr>
          <w:rFonts w:ascii="Times New Roman" w:hAnsi="Times New Roman" w:cs="Times New Roman"/>
        </w:rPr>
        <w:t xml:space="preserve"> into two strategic priorities: </w:t>
      </w:r>
      <w:r w:rsidRPr="003C75F5">
        <w:rPr>
          <w:rFonts w:ascii="Times New Roman" w:hAnsi="Times New Roman" w:cs="Times New Roman"/>
          <w:b/>
        </w:rPr>
        <w:t>Expanding Public Space</w:t>
      </w:r>
      <w:r w:rsidRPr="003C75F5">
        <w:rPr>
          <w:rFonts w:ascii="Times New Roman" w:hAnsi="Times New Roman" w:cs="Times New Roman"/>
        </w:rPr>
        <w:t xml:space="preserve"> and </w:t>
      </w:r>
      <w:r w:rsidRPr="003C75F5">
        <w:rPr>
          <w:rFonts w:ascii="Times New Roman" w:hAnsi="Times New Roman" w:cs="Times New Roman"/>
          <w:b/>
        </w:rPr>
        <w:t>Spotlighting Russian Voices in Global Debates</w:t>
      </w:r>
      <w:r w:rsidRPr="003C75F5">
        <w:rPr>
          <w:rFonts w:ascii="Times New Roman" w:hAnsi="Times New Roman" w:cs="Times New Roman"/>
        </w:rPr>
        <w:t>.</w:t>
      </w:r>
    </w:p>
    <w:p w:rsidR="00D10075" w:rsidRPr="003C75F5" w:rsidRDefault="00D10075" w:rsidP="00D10075">
      <w:pPr>
        <w:rPr>
          <w:rFonts w:ascii="Times New Roman" w:hAnsi="Times New Roman" w:cs="Times New Roman"/>
        </w:rPr>
      </w:pPr>
      <w:r w:rsidRPr="003C75F5">
        <w:rPr>
          <w:rFonts w:ascii="Times New Roman" w:hAnsi="Times New Roman" w:cs="Times New Roman"/>
        </w:rPr>
        <w:t>Under the first priority of expanding public space</w:t>
      </w:r>
      <w:r w:rsidRPr="003C75F5">
        <w:rPr>
          <w:rFonts w:ascii="Times New Roman" w:hAnsi="Times New Roman" w:cs="Times New Roman"/>
          <w:b/>
        </w:rPr>
        <w:t>, inspiring and broadening opportunities for public voice</w:t>
      </w:r>
      <w:r w:rsidRPr="003C75F5">
        <w:rPr>
          <w:rFonts w:ascii="Times New Roman" w:hAnsi="Times New Roman" w:cs="Times New Roman"/>
        </w:rPr>
        <w:t xml:space="preserve"> is a central goal. Specifically, the RP supports spaces for debate and discussion, both physical and digital, as well as online informational platforms for stimulating public engagement. To ensure that the stimulation of voice also pays social dividends, </w:t>
      </w:r>
      <w:r w:rsidRPr="003C75F5">
        <w:rPr>
          <w:rFonts w:ascii="Times New Roman" w:hAnsi="Times New Roman" w:cs="Times New Roman"/>
          <w:b/>
        </w:rPr>
        <w:t>achieving a more public role for third sector actors</w:t>
      </w:r>
      <w:r w:rsidRPr="003C75F5">
        <w:rPr>
          <w:rFonts w:ascii="Times New Roman" w:hAnsi="Times New Roman" w:cs="Times New Roman"/>
        </w:rPr>
        <w:t xml:space="preserve"> is also a goal; multiple debate and discussion platforms are necessary but not sufficient levers for social change and must be complemented by efforts to strengthen the public role of independent activists, intellectuals, and journalists, among others. As a consequence, the RP’s </w:t>
      </w:r>
      <w:proofErr w:type="spellStart"/>
      <w:r w:rsidRPr="003C75F5">
        <w:rPr>
          <w:rFonts w:ascii="Times New Roman" w:hAnsi="Times New Roman" w:cs="Times New Roman"/>
        </w:rPr>
        <w:t>grantmaking</w:t>
      </w:r>
      <w:proofErr w:type="spellEnd"/>
      <w:r w:rsidRPr="003C75F5">
        <w:rPr>
          <w:rFonts w:ascii="Times New Roman" w:hAnsi="Times New Roman" w:cs="Times New Roman"/>
        </w:rPr>
        <w:t xml:space="preserve"> also seeks to increase the quality of and broaden access to policy-relevant information, which includes mainstreaming think tank and practical policy research at universities. </w:t>
      </w:r>
    </w:p>
    <w:p w:rsidR="00D10075" w:rsidRPr="003C75F5" w:rsidRDefault="00D10075">
      <w:pPr>
        <w:rPr>
          <w:rFonts w:ascii="Times New Roman" w:hAnsi="Times New Roman" w:cs="Times New Roman"/>
        </w:rPr>
      </w:pPr>
      <w:r w:rsidRPr="003C75F5">
        <w:rPr>
          <w:rFonts w:ascii="Times New Roman" w:hAnsi="Times New Roman" w:cs="Times New Roman"/>
          <w:b/>
        </w:rPr>
        <w:t>Spotlighting Russian voices in global debates</w:t>
      </w:r>
      <w:r w:rsidRPr="003C75F5">
        <w:rPr>
          <w:rFonts w:ascii="Times New Roman" w:hAnsi="Times New Roman" w:cs="Times New Roman"/>
        </w:rPr>
        <w:t xml:space="preserve"> is the RP’s second major strategic priority, with a goal of identifying meaningful global contexts for Russian intellectuals, activists, and practitioners to overcome their isolation. This includes inspiring Russian participation on global issues and providing opportunities for a more diverse array of Russians to collaborate with non-Russians on matters of joint intellectual and practical concern.</w:t>
      </w:r>
    </w:p>
    <w:p w:rsidR="00D10075" w:rsidRPr="003C75F5" w:rsidRDefault="00C44BD0">
      <w:pPr>
        <w:rPr>
          <w:rFonts w:ascii="Times New Roman" w:hAnsi="Times New Roman" w:cs="Times New Roman"/>
        </w:rPr>
      </w:pPr>
      <w:r w:rsidRPr="003C75F5">
        <w:rPr>
          <w:rFonts w:ascii="Times New Roman" w:hAnsi="Times New Roman" w:cs="Times New Roman"/>
        </w:rPr>
        <w:t xml:space="preserve">A new priority this year is </w:t>
      </w:r>
      <w:r w:rsidR="00D10075" w:rsidRPr="003C75F5">
        <w:rPr>
          <w:rFonts w:ascii="Times New Roman" w:hAnsi="Times New Roman" w:cs="Times New Roman"/>
          <w:b/>
        </w:rPr>
        <w:t>professionalizing and raising the legitimacy of the third sector.</w:t>
      </w:r>
      <w:r w:rsidR="00D10075" w:rsidRPr="003C75F5">
        <w:rPr>
          <w:rFonts w:ascii="Times New Roman" w:hAnsi="Times New Roman" w:cs="Times New Roman"/>
        </w:rPr>
        <w:t xml:space="preserve"> </w:t>
      </w:r>
      <w:r w:rsidRPr="003C75F5">
        <w:rPr>
          <w:rFonts w:ascii="Times New Roman" w:hAnsi="Times New Roman" w:cs="Times New Roman"/>
        </w:rPr>
        <w:t>This</w:t>
      </w:r>
      <w:r w:rsidR="00D10075" w:rsidRPr="003C75F5">
        <w:rPr>
          <w:rFonts w:ascii="Times New Roman" w:hAnsi="Times New Roman" w:cs="Times New Roman"/>
        </w:rPr>
        <w:t xml:space="preserve"> includes the development of managerial capacity, strategic planning, and effective communication skills of NGO partners.</w:t>
      </w:r>
      <w:r w:rsidRPr="003C75F5">
        <w:rPr>
          <w:rFonts w:ascii="Times New Roman" w:hAnsi="Times New Roman" w:cs="Times New Roman"/>
        </w:rPr>
        <w:t xml:space="preserve"> It also includes funding for tools that enable the activities of informal social movements and independent activists.</w:t>
      </w:r>
      <w:r w:rsidR="003C75F5">
        <w:rPr>
          <w:rFonts w:ascii="Times New Roman" w:hAnsi="Times New Roman" w:cs="Times New Roman"/>
        </w:rPr>
        <w:t xml:space="preserve"> Strengthening NGO coalitions and regional networks is a key objective.</w:t>
      </w:r>
      <w:r w:rsidRPr="003C75F5">
        <w:rPr>
          <w:rFonts w:ascii="Times New Roman" w:hAnsi="Times New Roman" w:cs="Times New Roman"/>
        </w:rPr>
        <w:t xml:space="preserve"> </w:t>
      </w:r>
    </w:p>
    <w:p w:rsidR="00C44BD0" w:rsidRDefault="00C44BD0">
      <w:pPr>
        <w:rPr>
          <w:rFonts w:ascii="Times New Roman" w:hAnsi="Times New Roman" w:cs="Times New Roman"/>
        </w:rPr>
      </w:pPr>
      <w:r w:rsidRPr="003C75F5">
        <w:rPr>
          <w:rFonts w:ascii="Times New Roman" w:hAnsi="Times New Roman" w:cs="Times New Roman"/>
        </w:rPr>
        <w:t xml:space="preserve">The RP’s funding is a mix of project and core support. There are a few large multi-year grants to long-standing partners, </w:t>
      </w:r>
      <w:r w:rsidR="003C75F5" w:rsidRPr="003C75F5">
        <w:rPr>
          <w:rFonts w:ascii="Times New Roman" w:hAnsi="Times New Roman" w:cs="Times New Roman"/>
        </w:rPr>
        <w:t>but the majority o</w:t>
      </w:r>
      <w:r w:rsidR="003C75F5">
        <w:rPr>
          <w:rFonts w:ascii="Times New Roman" w:hAnsi="Times New Roman" w:cs="Times New Roman"/>
        </w:rPr>
        <w:t xml:space="preserve">f grants are made year-to-year, both to past grantees and to new projects. A number of small pilot grants are given each year. The RP also funds capacity building for key grantees, ranging from participation in trainings to in-depth evaluations and strategic planning sessions. </w:t>
      </w:r>
      <w:r w:rsidR="00566E6D">
        <w:rPr>
          <w:rFonts w:ascii="Times New Roman" w:hAnsi="Times New Roman" w:cs="Times New Roman"/>
        </w:rPr>
        <w:t>In addition, the RP funds a representative in Brussels to do advocacy on behalf of two core partners, ADC Memorial and SOVA.</w:t>
      </w:r>
      <w:r w:rsidR="00566E6D" w:rsidRPr="00566E6D">
        <w:rPr>
          <w:rFonts w:ascii="Times New Roman" w:hAnsi="Times New Roman" w:cs="Times New Roman"/>
        </w:rPr>
        <w:t xml:space="preserve"> </w:t>
      </w:r>
      <w:r w:rsidR="00566E6D">
        <w:rPr>
          <w:rFonts w:ascii="Times New Roman" w:hAnsi="Times New Roman" w:cs="Times New Roman"/>
        </w:rPr>
        <w:t xml:space="preserve">In all of its </w:t>
      </w:r>
      <w:proofErr w:type="spellStart"/>
      <w:r w:rsidR="00566E6D">
        <w:rPr>
          <w:rFonts w:ascii="Times New Roman" w:hAnsi="Times New Roman" w:cs="Times New Roman"/>
        </w:rPr>
        <w:t>grantmaking</w:t>
      </w:r>
      <w:proofErr w:type="spellEnd"/>
      <w:r w:rsidR="00566E6D">
        <w:rPr>
          <w:rFonts w:ascii="Times New Roman" w:hAnsi="Times New Roman" w:cs="Times New Roman"/>
        </w:rPr>
        <w:t xml:space="preserve">, the OSF Russia Project seeks to partner with those who have worked actively to remain relevant, by reaching out to new audiences, identifying new constituencies, and renewing and reanimating their activities in various ways.  </w:t>
      </w:r>
    </w:p>
    <w:p w:rsidR="00566E6D" w:rsidRDefault="00566E6D">
      <w:pPr>
        <w:rPr>
          <w:rFonts w:ascii="Times New Roman" w:hAnsi="Times New Roman" w:cs="Times New Roman"/>
        </w:rPr>
      </w:pPr>
    </w:p>
    <w:p w:rsidR="00566E6D" w:rsidRPr="003C75F5" w:rsidRDefault="00566E6D">
      <w:pPr>
        <w:rPr>
          <w:rFonts w:ascii="Times New Roman" w:hAnsi="Times New Roman" w:cs="Times New Roman"/>
        </w:rPr>
      </w:pPr>
    </w:p>
    <w:sectPr w:rsidR="00566E6D" w:rsidRPr="003C7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075"/>
    <w:rsid w:val="002A604F"/>
    <w:rsid w:val="003C75F5"/>
    <w:rsid w:val="00566E6D"/>
    <w:rsid w:val="00685924"/>
    <w:rsid w:val="00B24A25"/>
    <w:rsid w:val="00BC31DC"/>
    <w:rsid w:val="00C44BD0"/>
    <w:rsid w:val="00D10075"/>
    <w:rsid w:val="00E644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32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 Litvinov</dc:creator>
  <cp:lastModifiedBy>Vicki Litvinov</cp:lastModifiedBy>
  <cp:revision>2</cp:revision>
  <dcterms:created xsi:type="dcterms:W3CDTF">2012-11-12T20:46:00Z</dcterms:created>
  <dcterms:modified xsi:type="dcterms:W3CDTF">2012-11-12T20:46:00Z</dcterms:modified>
</cp:coreProperties>
</file>